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FE5" w:rsidRDefault="00F13C47" w:rsidP="00FE63C9">
      <w:pPr>
        <w:jc w:val="center"/>
        <w:rPr>
          <w:sz w:val="20"/>
          <w:szCs w:val="20"/>
        </w:rPr>
      </w:pPr>
      <w:r>
        <w:rPr>
          <w:rFonts w:ascii="Calibri" w:eastAsia="Calibri" w:hAnsi="Calibri" w:cs="Calibri"/>
          <w:sz w:val="35"/>
          <w:szCs w:val="35"/>
        </w:rPr>
        <w:t>Saugumo Valdymo Politika</w:t>
      </w:r>
    </w:p>
    <w:p w:rsidR="00744FE5" w:rsidRDefault="00744FE5">
      <w:pPr>
        <w:spacing w:line="20" w:lineRule="exact"/>
        <w:rPr>
          <w:sz w:val="24"/>
          <w:szCs w:val="24"/>
        </w:rPr>
      </w:pPr>
    </w:p>
    <w:p w:rsidR="00744FE5" w:rsidRDefault="00744FE5">
      <w:pPr>
        <w:sectPr w:rsidR="00744FE5" w:rsidSect="00F67B65">
          <w:headerReference w:type="even" r:id="rId7"/>
          <w:headerReference w:type="default" r:id="rId8"/>
          <w:footerReference w:type="even" r:id="rId9"/>
          <w:footerReference w:type="default" r:id="rId10"/>
          <w:headerReference w:type="first" r:id="rId11"/>
          <w:footerReference w:type="first" r:id="rId12"/>
          <w:pgSz w:w="11900" w:h="16838"/>
          <w:pgMar w:top="1276" w:right="1106" w:bottom="567" w:left="1180" w:header="0" w:footer="0" w:gutter="0"/>
          <w:cols w:space="1296" w:equalWidth="0">
            <w:col w:w="9620"/>
          </w:cols>
        </w:sectPr>
      </w:pPr>
    </w:p>
    <w:p w:rsidR="00FE63C9" w:rsidRPr="00F3277E" w:rsidRDefault="00F13C47" w:rsidP="00583736">
      <w:pPr>
        <w:jc w:val="both"/>
        <w:rPr>
          <w:rFonts w:ascii="Calibri" w:eastAsia="Calibri" w:hAnsi="Calibri" w:cs="Calibri"/>
        </w:rPr>
      </w:pPr>
      <w:r w:rsidRPr="00F3277E">
        <w:rPr>
          <w:rFonts w:ascii="Calibri" w:eastAsia="Calibri" w:hAnsi="Calibri" w:cs="Calibri"/>
        </w:rPr>
        <w:t>UAB RIOTRANSA teikia jūrinių konteinerių gabenimą žemės transportu paslaugą Baltijos šalyse. Mes siekiame nuolat tobulinti mūsų teikiamas paslaugas, kad būtų patenkinti mūsų klientų reikalavimai, suteikdami jiems pakankamai galimybių atlikti reikiamus patikrinimus ar prisidėti prie paslaugų valdymo, siekiant užtikrinti, jog teikiame paslaugą, kuria galime pagrįstai didžiuotis. Mes siekiame nustatyti paslaugų ir kompetencijos etaloną visoje mūsų pramonėje. Šia politika siekiama apsaugoti mūsų informacijos šaltinius nuo bet kokių vidinių, išorinių, apgalvotų ar atsitiktinių pavojų. Siekdami vykdyti šią politiką, įsipareigojame</w:t>
      </w:r>
      <w:r w:rsidR="00FE63C9" w:rsidRPr="00F3277E">
        <w:rPr>
          <w:rFonts w:ascii="Calibri" w:eastAsia="Calibri" w:hAnsi="Calibri" w:cs="Calibri"/>
        </w:rPr>
        <w:t>:</w:t>
      </w:r>
    </w:p>
    <w:p w:rsidR="00FE63C9" w:rsidRPr="00F3277E" w:rsidRDefault="00FE63C9" w:rsidP="00FE63C9">
      <w:pPr>
        <w:spacing w:line="242" w:lineRule="auto"/>
        <w:jc w:val="both"/>
        <w:rPr>
          <w:rFonts w:ascii="Calibri" w:eastAsia="Calibri" w:hAnsi="Calibri" w:cs="Calibri"/>
        </w:rPr>
      </w:pPr>
      <w:r w:rsidRPr="00F3277E">
        <w:rPr>
          <w:rFonts w:ascii="Calibri" w:eastAsia="Calibri" w:hAnsi="Calibri" w:cs="Calibri"/>
        </w:rPr>
        <w:t> </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užtikrinti, kad visa informacija, įskaitant vidaus, trečiųjų šalių, asmeninius ir elektroninius duomenis, būtų tvarkoma konfidencialiai;</w:t>
      </w:r>
    </w:p>
    <w:p w:rsidR="00F849CB"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išlaikyti visos tokios informacijos vientisumą;</w:t>
      </w:r>
    </w:p>
    <w:p w:rsidR="00CA60C0" w:rsidRPr="00F3277E" w:rsidRDefault="00CA60C0" w:rsidP="00F849CB">
      <w:pPr>
        <w:numPr>
          <w:ilvl w:val="0"/>
          <w:numId w:val="4"/>
        </w:numPr>
        <w:spacing w:line="242" w:lineRule="auto"/>
        <w:jc w:val="both"/>
        <w:rPr>
          <w:rFonts w:ascii="Calibri" w:eastAsia="Calibri" w:hAnsi="Calibri" w:cs="Calibri"/>
        </w:rPr>
      </w:pPr>
      <w:r>
        <w:rPr>
          <w:rFonts w:ascii="Calibri" w:eastAsia="Calibri" w:hAnsi="Calibri" w:cs="Calibri"/>
        </w:rPr>
        <w:t xml:space="preserve">kiek įmanoma vengti fizinių ir operacinių klaidų, siekiant išvengti žalos ir poveikio įmonės turtui ir klientų </w:t>
      </w:r>
      <w:r w:rsidR="00CD30A7">
        <w:rPr>
          <w:rFonts w:ascii="Calibri" w:eastAsia="Calibri" w:hAnsi="Calibri" w:cs="Calibri"/>
        </w:rPr>
        <w:t>kroviniams</w:t>
      </w:r>
      <w:r>
        <w:rPr>
          <w:rFonts w:ascii="Calibri" w:eastAsia="Calibri" w:hAnsi="Calibri" w:cs="Calibri"/>
        </w:rPr>
        <w:t xml:space="preserve">; </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užtikrinti, kad mūsų informacinė sistema ir joje esanti informacija atitiktų mūsų pagrindini</w:t>
      </w:r>
      <w:r w:rsidR="0075487F" w:rsidRPr="00F3277E">
        <w:rPr>
          <w:rFonts w:ascii="Calibri" w:eastAsia="Calibri" w:hAnsi="Calibri" w:cs="Calibri"/>
        </w:rPr>
        <w:t>a</w:t>
      </w:r>
      <w:r w:rsidRPr="00F3277E">
        <w:rPr>
          <w:rFonts w:ascii="Calibri" w:eastAsia="Calibri" w:hAnsi="Calibri" w:cs="Calibri"/>
        </w:rPr>
        <w:t>s ir palaikančias verslo operacijas;</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laikytis visų galiojančių įstatyminių ir norminių reikalavimų</w:t>
      </w:r>
      <w:r w:rsidR="002965DB">
        <w:rPr>
          <w:rFonts w:ascii="Calibri" w:eastAsia="Calibri" w:hAnsi="Calibri" w:cs="Calibri"/>
        </w:rPr>
        <w:t xml:space="preserve"> taikomų įmonei</w:t>
      </w:r>
      <w:r w:rsidRPr="00F3277E">
        <w:rPr>
          <w:rFonts w:ascii="Calibri" w:eastAsia="Calibri" w:hAnsi="Calibri" w:cs="Calibri"/>
        </w:rPr>
        <w:t>;</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efektyviai valdyti veiklos tęstinumą, užtikrin</w:t>
      </w:r>
      <w:r w:rsidR="0075487F" w:rsidRPr="00F3277E">
        <w:rPr>
          <w:rFonts w:ascii="Calibri" w:eastAsia="Calibri" w:hAnsi="Calibri" w:cs="Calibri"/>
        </w:rPr>
        <w:t>ant</w:t>
      </w:r>
      <w:r w:rsidRPr="00F3277E">
        <w:rPr>
          <w:rFonts w:ascii="Calibri" w:eastAsia="Calibri" w:hAnsi="Calibri" w:cs="Calibri"/>
        </w:rPr>
        <w:t xml:space="preserve"> informacijos išteklių saugumą;</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suteikti informaciją darbuotojams ir visuomenei kuo mažiau trikdant;</w:t>
      </w:r>
    </w:p>
    <w:p w:rsidR="00F849CB" w:rsidRPr="00F3277E" w:rsidRDefault="00F849CB"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didinti darbuotojų informuotumą apie informacijos saugumo valdymą per švietimą ir mokymą;</w:t>
      </w:r>
    </w:p>
    <w:p w:rsidR="00FE63C9" w:rsidRPr="00F3277E" w:rsidRDefault="0075487F" w:rsidP="00F849CB">
      <w:pPr>
        <w:numPr>
          <w:ilvl w:val="0"/>
          <w:numId w:val="4"/>
        </w:numPr>
        <w:spacing w:line="242" w:lineRule="auto"/>
        <w:jc w:val="both"/>
        <w:rPr>
          <w:rFonts w:ascii="Calibri" w:eastAsia="Calibri" w:hAnsi="Calibri" w:cs="Calibri"/>
        </w:rPr>
      </w:pPr>
      <w:r w:rsidRPr="00F3277E">
        <w:rPr>
          <w:rFonts w:ascii="Calibri" w:eastAsia="Calibri" w:hAnsi="Calibri" w:cs="Calibri"/>
        </w:rPr>
        <w:t>užtikrinti</w:t>
      </w:r>
      <w:r w:rsidR="00F849CB" w:rsidRPr="00F3277E">
        <w:rPr>
          <w:rFonts w:ascii="Calibri" w:eastAsia="Calibri" w:hAnsi="Calibri" w:cs="Calibri"/>
        </w:rPr>
        <w:t xml:space="preserve"> patikimą prieigos kontrolę, kad apsaugotum</w:t>
      </w:r>
      <w:r w:rsidRPr="00F3277E">
        <w:rPr>
          <w:rFonts w:ascii="Calibri" w:eastAsia="Calibri" w:hAnsi="Calibri" w:cs="Calibri"/>
        </w:rPr>
        <w:t>e</w:t>
      </w:r>
      <w:r w:rsidR="00F849CB" w:rsidRPr="00F3277E">
        <w:rPr>
          <w:rFonts w:ascii="Calibri" w:eastAsia="Calibri" w:hAnsi="Calibri" w:cs="Calibri"/>
        </w:rPr>
        <w:t xml:space="preserve"> mūsų informacinę sistemą nuo neteisėtos prieigos</w:t>
      </w:r>
      <w:r w:rsidR="00FE63C9" w:rsidRPr="00F3277E">
        <w:rPr>
          <w:rFonts w:ascii="Calibri" w:eastAsia="Calibri" w:hAnsi="Calibri" w:cs="Calibri"/>
        </w:rPr>
        <w:t>.</w:t>
      </w:r>
    </w:p>
    <w:p w:rsidR="00744FE5" w:rsidRPr="00F3277E" w:rsidRDefault="00744FE5">
      <w:pPr>
        <w:spacing w:line="230" w:lineRule="exact"/>
        <w:rPr>
          <w:sz w:val="24"/>
          <w:szCs w:val="24"/>
        </w:rPr>
      </w:pPr>
    </w:p>
    <w:p w:rsidR="00744FE5" w:rsidRPr="00F3277E" w:rsidRDefault="008C0DFF" w:rsidP="00583736">
      <w:pPr>
        <w:jc w:val="both"/>
        <w:rPr>
          <w:sz w:val="20"/>
          <w:szCs w:val="20"/>
        </w:rPr>
      </w:pPr>
      <w:r w:rsidRPr="00F3277E">
        <w:rPr>
          <w:rFonts w:ascii="Calibri" w:eastAsia="Calibri" w:hAnsi="Calibri" w:cs="Calibri"/>
        </w:rPr>
        <w:t>Organizacija įsipareigoja laikytis rizikos valdymo požiūrio į verslo planavimą ir to siekti dokumentuojant, įgyvendinant ir prižiūrint standartą ISO 28000: 2007. Tai apima pagrindinius grėsmių nustatymo, rizikos įvertinimo ir rizikos valdymo procesus. Tai taip pat apima įsipareigojimą įvykdyti mūsų klientų saugumo reikalavimus, taikomus teisinius ir norminius aktų reikalavimus, taip pat nuolat tobulinant sistemą ir stengiantis užtikrinti, kad ji išliktų veiksminga.</w:t>
      </w:r>
    </w:p>
    <w:p w:rsidR="00744FE5" w:rsidRPr="00F3277E" w:rsidRDefault="00744FE5">
      <w:pPr>
        <w:spacing w:line="231" w:lineRule="exact"/>
        <w:rPr>
          <w:sz w:val="24"/>
          <w:szCs w:val="24"/>
        </w:rPr>
      </w:pPr>
    </w:p>
    <w:p w:rsidR="00744FE5" w:rsidRPr="00F3277E" w:rsidRDefault="00583736" w:rsidP="00583736">
      <w:pPr>
        <w:jc w:val="both"/>
        <w:rPr>
          <w:rFonts w:ascii="Calibri" w:eastAsia="Calibri" w:hAnsi="Calibri" w:cs="Calibri"/>
        </w:rPr>
      </w:pPr>
      <w:r w:rsidRPr="00F3277E">
        <w:rPr>
          <w:rFonts w:ascii="Calibri" w:eastAsia="Calibri" w:hAnsi="Calibri" w:cs="Calibri"/>
        </w:rPr>
        <w:t>Tik teikdami paslaugas ir saugioje tiekimo grandinėje, mes pasieksime savo ilgalaikės sėkmės ir nuolatinio tobulėjimo tikslus. Visas įmonės personalas yra atsakingas už tiekimo grandinės saugumą ir yra supažindintas su šia politika. Bendrovė vykdo atitinkamus mokymus ir sukūrė sistemas, padedančias visam personalui pasiekti reikalaujamus standartus.</w:t>
      </w:r>
    </w:p>
    <w:p w:rsidR="00583736" w:rsidRPr="00F3277E" w:rsidRDefault="00583736">
      <w:pPr>
        <w:spacing w:line="225" w:lineRule="exact"/>
        <w:rPr>
          <w:sz w:val="24"/>
          <w:szCs w:val="24"/>
        </w:rPr>
      </w:pPr>
    </w:p>
    <w:p w:rsidR="00744FE5" w:rsidRPr="00F3277E" w:rsidRDefault="00583736">
      <w:pPr>
        <w:rPr>
          <w:rFonts w:ascii="Calibri" w:eastAsia="Calibri" w:hAnsi="Calibri" w:cs="Calibri"/>
        </w:rPr>
      </w:pPr>
      <w:r w:rsidRPr="00F3277E">
        <w:rPr>
          <w:rFonts w:ascii="Calibri" w:eastAsia="Calibri" w:hAnsi="Calibri" w:cs="Calibri"/>
        </w:rPr>
        <w:t>Organizacija demonstruoja savo įsipareigojimą saugumui, siekdama šių saugumo tikslų</w:t>
      </w:r>
      <w:r w:rsidR="00426353" w:rsidRPr="00F3277E">
        <w:rPr>
          <w:rFonts w:ascii="Calibri" w:eastAsia="Calibri" w:hAnsi="Calibri" w:cs="Calibri"/>
        </w:rPr>
        <w:t>:</w:t>
      </w:r>
    </w:p>
    <w:p w:rsidR="00FD3B9A" w:rsidRPr="00F3277E" w:rsidRDefault="00FD3B9A">
      <w:pPr>
        <w:rPr>
          <w:rFonts w:ascii="Calibri" w:eastAsia="Calibri" w:hAnsi="Calibri" w:cs="Calibri"/>
        </w:rPr>
      </w:pPr>
    </w:p>
    <w:p w:rsidR="00FD3B9A" w:rsidRPr="00F3277E" w:rsidRDefault="00FD3B9A" w:rsidP="00F3277E">
      <w:pPr>
        <w:ind w:left="720"/>
        <w:contextualSpacing/>
        <w:rPr>
          <w:rFonts w:asciiTheme="minorHAnsi" w:hAnsiTheme="minorHAnsi"/>
        </w:rPr>
      </w:pPr>
      <w:r w:rsidRPr="00F3277E">
        <w:rPr>
          <w:rFonts w:asciiTheme="minorHAnsi" w:hAnsiTheme="minorHAnsi"/>
        </w:rPr>
        <w:t>• atitikti/laikytis galiojančių ir susijusių tarptautinių ir nacionalinių teisės aktų, įstatymų, kodeksų ir norminių reikalavimų</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spacing w:line="180" w:lineRule="exact"/>
        <w:ind w:left="720"/>
        <w:contextualSpacing/>
        <w:rPr>
          <w:rFonts w:asciiTheme="minorHAnsi" w:hAnsiTheme="minorHAnsi"/>
        </w:rPr>
      </w:pPr>
      <w:r w:rsidRPr="00F3277E">
        <w:rPr>
          <w:rFonts w:asciiTheme="minorHAnsi" w:hAnsiTheme="minorHAnsi"/>
        </w:rPr>
        <w:t>• įvertinti visas su saugumu susijusias grėsmes ir rizikas bei nuolat stengtis sumažinti rizikos lygį</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ind w:left="720"/>
        <w:contextualSpacing/>
        <w:rPr>
          <w:rFonts w:asciiTheme="minorHAnsi" w:hAnsiTheme="minorHAnsi"/>
        </w:rPr>
      </w:pPr>
      <w:r w:rsidRPr="00F3277E">
        <w:rPr>
          <w:rFonts w:asciiTheme="minorHAnsi" w:hAnsiTheme="minorHAnsi"/>
        </w:rPr>
        <w:t>• išlaikyti pakankamas išteklių (žmogiškųjų, finansinių irkt.) atsargas, kad būtų išvengta bet kokio vėlavimo teikti paslaugas dėl išteklių praradimų ar trūkumų</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spacing w:line="180" w:lineRule="exact"/>
        <w:ind w:left="720"/>
        <w:contextualSpacing/>
        <w:rPr>
          <w:rFonts w:asciiTheme="minorHAnsi" w:hAnsiTheme="minorHAnsi"/>
        </w:rPr>
      </w:pPr>
      <w:r w:rsidRPr="00F3277E">
        <w:rPr>
          <w:rFonts w:asciiTheme="minorHAnsi" w:hAnsiTheme="minorHAnsi"/>
        </w:rPr>
        <w:t>• nuolat svarstyti visas technologines galimybes</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spacing w:line="180" w:lineRule="exact"/>
        <w:ind w:left="720"/>
        <w:contextualSpacing/>
        <w:rPr>
          <w:rFonts w:asciiTheme="minorHAnsi" w:hAnsiTheme="minorHAnsi"/>
        </w:rPr>
      </w:pPr>
      <w:r w:rsidRPr="00F3277E">
        <w:rPr>
          <w:rFonts w:asciiTheme="minorHAnsi" w:hAnsiTheme="minorHAnsi"/>
        </w:rPr>
        <w:t>• nuolat palaikyti tinkamą finansinę, veiklos ir verslo infrastruktūrą</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spacing w:line="180" w:lineRule="exact"/>
        <w:ind w:left="720"/>
        <w:contextualSpacing/>
        <w:rPr>
          <w:rFonts w:asciiTheme="minorHAnsi" w:hAnsiTheme="minorHAnsi"/>
        </w:rPr>
      </w:pPr>
      <w:r w:rsidRPr="00F3277E">
        <w:rPr>
          <w:rFonts w:asciiTheme="minorHAnsi" w:hAnsiTheme="minorHAnsi"/>
        </w:rPr>
        <w:t>• nuolat atsižvelgti į atitinkamų suinteresuotųjų šalių nuomones</w:t>
      </w:r>
    </w:p>
    <w:p w:rsidR="00FD3B9A" w:rsidRPr="00F3277E" w:rsidRDefault="00FD3B9A" w:rsidP="00F3277E">
      <w:pPr>
        <w:spacing w:line="180" w:lineRule="exact"/>
        <w:ind w:left="720"/>
        <w:contextualSpacing/>
        <w:rPr>
          <w:rFonts w:asciiTheme="minorHAnsi" w:hAnsiTheme="minorHAnsi"/>
        </w:rPr>
      </w:pPr>
    </w:p>
    <w:p w:rsidR="00FD3B9A" w:rsidRPr="00F3277E" w:rsidRDefault="00FD3B9A" w:rsidP="00F3277E">
      <w:pPr>
        <w:spacing w:line="180" w:lineRule="exact"/>
        <w:ind w:left="720"/>
        <w:contextualSpacing/>
        <w:rPr>
          <w:rFonts w:asciiTheme="minorHAnsi" w:hAnsiTheme="minorHAnsi"/>
        </w:rPr>
      </w:pPr>
      <w:r w:rsidRPr="00F3277E">
        <w:rPr>
          <w:rFonts w:asciiTheme="minorHAnsi" w:hAnsiTheme="minorHAnsi"/>
        </w:rPr>
        <w:t>• nuolat tobulinti sistemą</w:t>
      </w:r>
    </w:p>
    <w:p w:rsidR="00FD3B9A" w:rsidRPr="00F3277E" w:rsidRDefault="00FD3B9A" w:rsidP="00F3277E">
      <w:pPr>
        <w:spacing w:line="180" w:lineRule="exact"/>
        <w:ind w:left="720"/>
        <w:contextualSpacing/>
        <w:rPr>
          <w:rFonts w:asciiTheme="minorHAnsi" w:hAnsiTheme="minorHAnsi"/>
        </w:rPr>
      </w:pPr>
    </w:p>
    <w:p w:rsidR="00FD3B9A" w:rsidRDefault="00FD3B9A" w:rsidP="00F3277E">
      <w:pPr>
        <w:spacing w:line="180" w:lineRule="exact"/>
        <w:ind w:left="720"/>
        <w:contextualSpacing/>
        <w:rPr>
          <w:rFonts w:asciiTheme="minorHAnsi" w:hAnsiTheme="minorHAnsi"/>
        </w:rPr>
      </w:pPr>
      <w:r w:rsidRPr="00F3277E">
        <w:rPr>
          <w:rFonts w:asciiTheme="minorHAnsi" w:hAnsiTheme="minorHAnsi"/>
        </w:rPr>
        <w:t>• stangtis pašalinti ar sumažinti nepageidaujamų įvykių/incidentų dažnį</w:t>
      </w:r>
    </w:p>
    <w:p w:rsidR="00F67B65" w:rsidRPr="00F3277E" w:rsidRDefault="00F67B65" w:rsidP="00F3277E">
      <w:pPr>
        <w:spacing w:line="180" w:lineRule="exact"/>
        <w:ind w:left="720"/>
        <w:contextualSpacing/>
        <w:rPr>
          <w:rFonts w:asciiTheme="minorHAnsi" w:hAnsiTheme="minorHAnsi"/>
        </w:rPr>
      </w:pPr>
    </w:p>
    <w:p w:rsidR="00DC14DB" w:rsidRPr="00FD3B9A" w:rsidRDefault="00FD3B9A" w:rsidP="00F67B65">
      <w:pPr>
        <w:contextualSpacing/>
        <w:jc w:val="both"/>
        <w:rPr>
          <w:szCs w:val="24"/>
          <w:lang w:val="en-US"/>
        </w:rPr>
      </w:pPr>
      <w:r w:rsidRPr="00F3277E">
        <w:rPr>
          <w:rFonts w:asciiTheme="minorHAnsi" w:hAnsiTheme="minorHAnsi"/>
        </w:rPr>
        <w:t>Ši politika bus periodiškai peržiūrima (bent kartą per metus ir tuo atveju, jei kokie nors pokyčiai gali turėti įtakos įmonės verslui), siekiant, kad ji ir toliau būtų aktuali ir tinkama mūsų organizacijai. Ši politika bus išplatinta visoms suinteresuotosioms šalims patvirtinus šį dokumentą ir vėliau jį peržiūrėjus.</w:t>
      </w:r>
    </w:p>
    <w:p w:rsidR="00744FE5" w:rsidRDefault="00744FE5">
      <w:pPr>
        <w:spacing w:line="20" w:lineRule="exact"/>
        <w:rPr>
          <w:sz w:val="24"/>
          <w:szCs w:val="24"/>
        </w:rPr>
      </w:pPr>
    </w:p>
    <w:sectPr w:rsidR="00744FE5" w:rsidSect="00594D8B">
      <w:type w:val="continuous"/>
      <w:pgSz w:w="11900" w:h="16838"/>
      <w:pgMar w:top="1276" w:right="1106" w:bottom="1098" w:left="1180" w:header="0" w:footer="0" w:gutter="0"/>
      <w:cols w:space="1296"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8E3" w:rsidRDefault="009328E3" w:rsidP="00594D8B">
      <w:r>
        <w:separator/>
      </w:r>
    </w:p>
  </w:endnote>
  <w:endnote w:type="continuationSeparator" w:id="0">
    <w:p w:rsidR="009328E3" w:rsidRDefault="009328E3" w:rsidP="0059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D2" w:rsidRDefault="002F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D2" w:rsidRDefault="002F4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D2" w:rsidRDefault="002F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8E3" w:rsidRDefault="009328E3" w:rsidP="00594D8B">
      <w:r>
        <w:separator/>
      </w:r>
    </w:p>
  </w:footnote>
  <w:footnote w:type="continuationSeparator" w:id="0">
    <w:p w:rsidR="009328E3" w:rsidRDefault="009328E3" w:rsidP="0059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D2" w:rsidRDefault="002F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D8B" w:rsidRDefault="00594D8B">
    <w:pPr>
      <w:pStyle w:val="Header"/>
    </w:pPr>
  </w:p>
  <w:tbl>
    <w:tblPr>
      <w:tblStyle w:val="TableGrid"/>
      <w:tblW w:w="0" w:type="auto"/>
      <w:tblLook w:val="04A0" w:firstRow="1" w:lastRow="0" w:firstColumn="1" w:lastColumn="0" w:noHBand="0" w:noVBand="1"/>
    </w:tblPr>
    <w:tblGrid>
      <w:gridCol w:w="1668"/>
      <w:gridCol w:w="4536"/>
      <w:gridCol w:w="1842"/>
      <w:gridCol w:w="1784"/>
    </w:tblGrid>
    <w:tr w:rsidR="00FE63C9" w:rsidTr="00B90616">
      <w:tc>
        <w:tcPr>
          <w:tcW w:w="1668" w:type="dxa"/>
        </w:tcPr>
        <w:p w:rsidR="00FE63C9" w:rsidRDefault="00FE63C9">
          <w:pPr>
            <w:pStyle w:val="Header"/>
          </w:pPr>
          <w:r w:rsidRPr="00FE63C9">
            <w:rPr>
              <w:noProof/>
            </w:rPr>
            <w:drawing>
              <wp:inline distT="0" distB="0" distL="0" distR="0" wp14:anchorId="37DD3E5C" wp14:editId="3DAE0E23">
                <wp:extent cx="885825" cy="264990"/>
                <wp:effectExtent l="0" t="0" r="0" b="1905"/>
                <wp:docPr id="9" name="Picture 9" descr="http://www.riotransa.lt/attachments/Logo/Riotransa_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otransa.lt/attachments/Logo/Riotransa_logo-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048" cy="272236"/>
                        </a:xfrm>
                        <a:prstGeom prst="rect">
                          <a:avLst/>
                        </a:prstGeom>
                        <a:noFill/>
                        <a:ln>
                          <a:noFill/>
                        </a:ln>
                      </pic:spPr>
                    </pic:pic>
                  </a:graphicData>
                </a:graphic>
              </wp:inline>
            </w:drawing>
          </w:r>
        </w:p>
      </w:tc>
      <w:tc>
        <w:tcPr>
          <w:tcW w:w="6378" w:type="dxa"/>
          <w:gridSpan w:val="2"/>
        </w:tcPr>
        <w:p w:rsidR="00FE63C9" w:rsidRPr="00FE63C9" w:rsidRDefault="00200F6A" w:rsidP="00FE63C9">
          <w:pPr>
            <w:pStyle w:val="Header"/>
            <w:jc w:val="center"/>
            <w:rPr>
              <w:b/>
              <w:sz w:val="28"/>
              <w:szCs w:val="28"/>
            </w:rPr>
          </w:pPr>
          <w:r>
            <w:rPr>
              <w:b/>
              <w:sz w:val="28"/>
              <w:szCs w:val="28"/>
            </w:rPr>
            <w:t>Įmonės tiekimo grandinės s</w:t>
          </w:r>
          <w:bookmarkStart w:id="0" w:name="_GoBack"/>
          <w:bookmarkEnd w:id="0"/>
          <w:r w:rsidR="00F13C47" w:rsidRPr="00F13C47">
            <w:rPr>
              <w:b/>
              <w:sz w:val="28"/>
              <w:szCs w:val="28"/>
            </w:rPr>
            <w:t>augumo valdymo politika</w:t>
          </w:r>
        </w:p>
      </w:tc>
      <w:tc>
        <w:tcPr>
          <w:tcW w:w="1784" w:type="dxa"/>
        </w:tcPr>
        <w:p w:rsidR="00FE63C9" w:rsidRDefault="00FE63C9">
          <w:pPr>
            <w:pStyle w:val="Header"/>
          </w:pPr>
          <w:r>
            <w:t>P.4.2</w:t>
          </w:r>
        </w:p>
      </w:tc>
    </w:tr>
    <w:tr w:rsidR="002F48D2" w:rsidTr="00F13C47">
      <w:tc>
        <w:tcPr>
          <w:tcW w:w="1668" w:type="dxa"/>
          <w:vMerge w:val="restart"/>
        </w:tcPr>
        <w:p w:rsidR="002F48D2" w:rsidRDefault="002F48D2">
          <w:pPr>
            <w:pStyle w:val="Header"/>
          </w:pPr>
          <w:r>
            <w:t>Parengė:</w:t>
          </w:r>
        </w:p>
      </w:tc>
      <w:tc>
        <w:tcPr>
          <w:tcW w:w="4536" w:type="dxa"/>
          <w:vMerge w:val="restart"/>
        </w:tcPr>
        <w:p w:rsidR="002F48D2" w:rsidRDefault="002F48D2">
          <w:pPr>
            <w:pStyle w:val="Header"/>
          </w:pPr>
          <w:r>
            <w:t>Asta Eitutienė</w:t>
          </w:r>
        </w:p>
      </w:tc>
      <w:tc>
        <w:tcPr>
          <w:tcW w:w="1842" w:type="dxa"/>
        </w:tcPr>
        <w:p w:rsidR="002F48D2" w:rsidRDefault="002F48D2">
          <w:pPr>
            <w:pStyle w:val="Header"/>
          </w:pPr>
          <w:r>
            <w:t>Patvirtinimo data:</w:t>
          </w:r>
        </w:p>
      </w:tc>
      <w:tc>
        <w:tcPr>
          <w:tcW w:w="1784" w:type="dxa"/>
        </w:tcPr>
        <w:p w:rsidR="002F48D2" w:rsidRPr="00FE63C9" w:rsidRDefault="00021C43">
          <w:pPr>
            <w:pStyle w:val="Header"/>
            <w:rPr>
              <w:lang w:val="en-US"/>
            </w:rPr>
          </w:pPr>
          <w:r>
            <w:rPr>
              <w:lang w:val="en-US"/>
            </w:rPr>
            <w:t>02</w:t>
          </w:r>
          <w:r w:rsidR="002F48D2">
            <w:rPr>
              <w:lang w:val="en-US"/>
            </w:rPr>
            <w:t>.1</w:t>
          </w:r>
          <w:r w:rsidR="00BC41EA">
            <w:rPr>
              <w:lang w:val="en-US"/>
            </w:rPr>
            <w:t>2</w:t>
          </w:r>
          <w:r w:rsidR="002F48D2">
            <w:rPr>
              <w:lang w:val="en-US"/>
            </w:rPr>
            <w:t>.2019</w:t>
          </w:r>
        </w:p>
      </w:tc>
    </w:tr>
    <w:tr w:rsidR="002F48D2" w:rsidTr="00F13C47">
      <w:tc>
        <w:tcPr>
          <w:tcW w:w="1668" w:type="dxa"/>
          <w:vMerge/>
        </w:tcPr>
        <w:p w:rsidR="002F48D2" w:rsidRDefault="002F48D2">
          <w:pPr>
            <w:pStyle w:val="Header"/>
          </w:pPr>
        </w:p>
      </w:tc>
      <w:tc>
        <w:tcPr>
          <w:tcW w:w="4536" w:type="dxa"/>
          <w:vMerge/>
        </w:tcPr>
        <w:p w:rsidR="002F48D2" w:rsidRDefault="002F48D2">
          <w:pPr>
            <w:pStyle w:val="Header"/>
          </w:pPr>
        </w:p>
      </w:tc>
      <w:tc>
        <w:tcPr>
          <w:tcW w:w="1842" w:type="dxa"/>
        </w:tcPr>
        <w:p w:rsidR="002F48D2" w:rsidRDefault="002F48D2">
          <w:pPr>
            <w:pStyle w:val="Header"/>
          </w:pPr>
          <w:r>
            <w:t>Versija</w:t>
          </w:r>
        </w:p>
      </w:tc>
      <w:tc>
        <w:tcPr>
          <w:tcW w:w="1784" w:type="dxa"/>
        </w:tcPr>
        <w:p w:rsidR="002F48D2" w:rsidRDefault="002F48D2">
          <w:pPr>
            <w:pStyle w:val="Header"/>
          </w:pPr>
          <w:r>
            <w:t>01</w:t>
          </w:r>
        </w:p>
      </w:tc>
    </w:tr>
    <w:tr w:rsidR="00594D8B" w:rsidTr="00F13C47">
      <w:tc>
        <w:tcPr>
          <w:tcW w:w="1668" w:type="dxa"/>
        </w:tcPr>
        <w:p w:rsidR="00594D8B" w:rsidRDefault="00F13C47">
          <w:pPr>
            <w:pStyle w:val="Header"/>
          </w:pPr>
          <w:r>
            <w:t>Patvirtino</w:t>
          </w:r>
          <w:r w:rsidR="00594D8B">
            <w:t>:</w:t>
          </w:r>
        </w:p>
      </w:tc>
      <w:tc>
        <w:tcPr>
          <w:tcW w:w="4536" w:type="dxa"/>
        </w:tcPr>
        <w:p w:rsidR="00594D8B" w:rsidRPr="00FE63C9" w:rsidRDefault="00F13C47">
          <w:pPr>
            <w:pStyle w:val="Header"/>
            <w:rPr>
              <w:i/>
            </w:rPr>
          </w:pPr>
          <w:r>
            <w:rPr>
              <w:i/>
            </w:rPr>
            <w:t>Direktorius</w:t>
          </w:r>
          <w:r w:rsidR="00FE63C9" w:rsidRPr="00FE63C9">
            <w:rPr>
              <w:i/>
            </w:rPr>
            <w:t xml:space="preserve"> Vaidas Eitutis</w:t>
          </w:r>
        </w:p>
      </w:tc>
      <w:tc>
        <w:tcPr>
          <w:tcW w:w="1842" w:type="dxa"/>
        </w:tcPr>
        <w:p w:rsidR="00594D8B" w:rsidRDefault="00F13C47">
          <w:pPr>
            <w:pStyle w:val="Header"/>
          </w:pPr>
          <w:r>
            <w:t>Peržiūrėta</w:t>
          </w:r>
          <w:r w:rsidR="00FE63C9">
            <w:t>:</w:t>
          </w:r>
        </w:p>
      </w:tc>
      <w:tc>
        <w:tcPr>
          <w:tcW w:w="1784" w:type="dxa"/>
        </w:tcPr>
        <w:p w:rsidR="00594D8B" w:rsidRDefault="00594D8B">
          <w:pPr>
            <w:pStyle w:val="Header"/>
          </w:pPr>
        </w:p>
      </w:tc>
    </w:tr>
  </w:tbl>
  <w:p w:rsidR="00594D8B" w:rsidRDefault="00594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D2" w:rsidRDefault="002F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2886FC60"/>
    <w:lvl w:ilvl="0" w:tplc="8500FA72">
      <w:start w:val="5"/>
      <w:numFmt w:val="decimal"/>
      <w:lvlText w:val="%1"/>
      <w:lvlJc w:val="left"/>
    </w:lvl>
    <w:lvl w:ilvl="1" w:tplc="9EC0B710">
      <w:numFmt w:val="decimal"/>
      <w:lvlText w:val=""/>
      <w:lvlJc w:val="left"/>
    </w:lvl>
    <w:lvl w:ilvl="2" w:tplc="5C7ED98A">
      <w:numFmt w:val="decimal"/>
      <w:lvlText w:val=""/>
      <w:lvlJc w:val="left"/>
    </w:lvl>
    <w:lvl w:ilvl="3" w:tplc="0D5A8CEE">
      <w:numFmt w:val="decimal"/>
      <w:lvlText w:val=""/>
      <w:lvlJc w:val="left"/>
    </w:lvl>
    <w:lvl w:ilvl="4" w:tplc="0584D104">
      <w:numFmt w:val="decimal"/>
      <w:lvlText w:val=""/>
      <w:lvlJc w:val="left"/>
    </w:lvl>
    <w:lvl w:ilvl="5" w:tplc="FDB6E580">
      <w:numFmt w:val="decimal"/>
      <w:lvlText w:val=""/>
      <w:lvlJc w:val="left"/>
    </w:lvl>
    <w:lvl w:ilvl="6" w:tplc="00505920">
      <w:numFmt w:val="decimal"/>
      <w:lvlText w:val=""/>
      <w:lvlJc w:val="left"/>
    </w:lvl>
    <w:lvl w:ilvl="7" w:tplc="7494C78A">
      <w:numFmt w:val="decimal"/>
      <w:lvlText w:val=""/>
      <w:lvlJc w:val="left"/>
    </w:lvl>
    <w:lvl w:ilvl="8" w:tplc="958A3AE8">
      <w:numFmt w:val="decimal"/>
      <w:lvlText w:val=""/>
      <w:lvlJc w:val="left"/>
    </w:lvl>
  </w:abstractNum>
  <w:abstractNum w:abstractNumId="1" w15:restartNumberingAfterBreak="0">
    <w:nsid w:val="66334873"/>
    <w:multiLevelType w:val="hybridMultilevel"/>
    <w:tmpl w:val="6BAE824C"/>
    <w:lvl w:ilvl="0" w:tplc="FE3ABE56">
      <w:start w:val="1"/>
      <w:numFmt w:val="decimal"/>
      <w:lvlText w:val="%1"/>
      <w:lvlJc w:val="left"/>
    </w:lvl>
    <w:lvl w:ilvl="1" w:tplc="875AE854">
      <w:numFmt w:val="decimal"/>
      <w:lvlText w:val=""/>
      <w:lvlJc w:val="left"/>
    </w:lvl>
    <w:lvl w:ilvl="2" w:tplc="5FD4B5EA">
      <w:numFmt w:val="decimal"/>
      <w:lvlText w:val=""/>
      <w:lvlJc w:val="left"/>
    </w:lvl>
    <w:lvl w:ilvl="3" w:tplc="776CDDB8">
      <w:numFmt w:val="decimal"/>
      <w:lvlText w:val=""/>
      <w:lvlJc w:val="left"/>
    </w:lvl>
    <w:lvl w:ilvl="4" w:tplc="8EA8524A">
      <w:numFmt w:val="decimal"/>
      <w:lvlText w:val=""/>
      <w:lvlJc w:val="left"/>
    </w:lvl>
    <w:lvl w:ilvl="5" w:tplc="4A5AB362">
      <w:numFmt w:val="decimal"/>
      <w:lvlText w:val=""/>
      <w:lvlJc w:val="left"/>
    </w:lvl>
    <w:lvl w:ilvl="6" w:tplc="436E6088">
      <w:numFmt w:val="decimal"/>
      <w:lvlText w:val=""/>
      <w:lvlJc w:val="left"/>
    </w:lvl>
    <w:lvl w:ilvl="7" w:tplc="B0BE1878">
      <w:numFmt w:val="decimal"/>
      <w:lvlText w:val=""/>
      <w:lvlJc w:val="left"/>
    </w:lvl>
    <w:lvl w:ilvl="8" w:tplc="05D0381E">
      <w:numFmt w:val="decimal"/>
      <w:lvlText w:val=""/>
      <w:lvlJc w:val="left"/>
    </w:lvl>
  </w:abstractNum>
  <w:abstractNum w:abstractNumId="2" w15:restartNumberingAfterBreak="0">
    <w:nsid w:val="6B031FCF"/>
    <w:multiLevelType w:val="hybridMultilevel"/>
    <w:tmpl w:val="662AE0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23C25E4"/>
    <w:multiLevelType w:val="multilevel"/>
    <w:tmpl w:val="BA3C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0DC51"/>
    <w:multiLevelType w:val="hybridMultilevel"/>
    <w:tmpl w:val="33F83342"/>
    <w:lvl w:ilvl="0" w:tplc="BC14D4FC">
      <w:start w:val="3"/>
      <w:numFmt w:val="decimal"/>
      <w:lvlText w:val="%1"/>
      <w:lvlJc w:val="left"/>
    </w:lvl>
    <w:lvl w:ilvl="1" w:tplc="59183EE4">
      <w:numFmt w:val="decimal"/>
      <w:lvlText w:val=""/>
      <w:lvlJc w:val="left"/>
    </w:lvl>
    <w:lvl w:ilvl="2" w:tplc="0BA868E0">
      <w:numFmt w:val="decimal"/>
      <w:lvlText w:val=""/>
      <w:lvlJc w:val="left"/>
    </w:lvl>
    <w:lvl w:ilvl="3" w:tplc="BA386564">
      <w:numFmt w:val="decimal"/>
      <w:lvlText w:val=""/>
      <w:lvlJc w:val="left"/>
    </w:lvl>
    <w:lvl w:ilvl="4" w:tplc="3C867320">
      <w:numFmt w:val="decimal"/>
      <w:lvlText w:val=""/>
      <w:lvlJc w:val="left"/>
    </w:lvl>
    <w:lvl w:ilvl="5" w:tplc="04F2F71A">
      <w:numFmt w:val="decimal"/>
      <w:lvlText w:val=""/>
      <w:lvlJc w:val="left"/>
    </w:lvl>
    <w:lvl w:ilvl="6" w:tplc="57EC8E56">
      <w:numFmt w:val="decimal"/>
      <w:lvlText w:val=""/>
      <w:lvlJc w:val="left"/>
    </w:lvl>
    <w:lvl w:ilvl="7" w:tplc="0194E318">
      <w:numFmt w:val="decimal"/>
      <w:lvlText w:val=""/>
      <w:lvlJc w:val="left"/>
    </w:lvl>
    <w:lvl w:ilvl="8" w:tplc="8A2EAF14">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E5"/>
    <w:rsid w:val="00021C43"/>
    <w:rsid w:val="0007101F"/>
    <w:rsid w:val="00200F6A"/>
    <w:rsid w:val="002965DB"/>
    <w:rsid w:val="002F48D2"/>
    <w:rsid w:val="003045A7"/>
    <w:rsid w:val="00361651"/>
    <w:rsid w:val="00426353"/>
    <w:rsid w:val="00460B5F"/>
    <w:rsid w:val="00583736"/>
    <w:rsid w:val="00594D8B"/>
    <w:rsid w:val="006D6595"/>
    <w:rsid w:val="00744FE5"/>
    <w:rsid w:val="0075487F"/>
    <w:rsid w:val="00796E8D"/>
    <w:rsid w:val="00825C0E"/>
    <w:rsid w:val="00846766"/>
    <w:rsid w:val="008A26F8"/>
    <w:rsid w:val="008C0DFF"/>
    <w:rsid w:val="009328E3"/>
    <w:rsid w:val="00BC41EA"/>
    <w:rsid w:val="00CA60C0"/>
    <w:rsid w:val="00CD30A7"/>
    <w:rsid w:val="00DC14DB"/>
    <w:rsid w:val="00F13C47"/>
    <w:rsid w:val="00F3277E"/>
    <w:rsid w:val="00F67B65"/>
    <w:rsid w:val="00F849CB"/>
    <w:rsid w:val="00FD3B9A"/>
    <w:rsid w:val="00FE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C4D09"/>
  <w15:docId w15:val="{71C0A228-DCC3-4C10-A3EC-47F1BACB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D8B"/>
    <w:pPr>
      <w:tabs>
        <w:tab w:val="center" w:pos="4986"/>
        <w:tab w:val="right" w:pos="9972"/>
      </w:tabs>
    </w:pPr>
  </w:style>
  <w:style w:type="character" w:customStyle="1" w:styleId="HeaderChar">
    <w:name w:val="Header Char"/>
    <w:basedOn w:val="DefaultParagraphFont"/>
    <w:link w:val="Header"/>
    <w:uiPriority w:val="99"/>
    <w:rsid w:val="00594D8B"/>
  </w:style>
  <w:style w:type="paragraph" w:styleId="Footer">
    <w:name w:val="footer"/>
    <w:basedOn w:val="Normal"/>
    <w:link w:val="FooterChar"/>
    <w:uiPriority w:val="99"/>
    <w:unhideWhenUsed/>
    <w:rsid w:val="00594D8B"/>
    <w:pPr>
      <w:tabs>
        <w:tab w:val="center" w:pos="4986"/>
        <w:tab w:val="right" w:pos="9972"/>
      </w:tabs>
    </w:pPr>
  </w:style>
  <w:style w:type="character" w:customStyle="1" w:styleId="FooterChar">
    <w:name w:val="Footer Char"/>
    <w:basedOn w:val="DefaultParagraphFont"/>
    <w:link w:val="Footer"/>
    <w:uiPriority w:val="99"/>
    <w:rsid w:val="00594D8B"/>
  </w:style>
  <w:style w:type="table" w:styleId="TableGrid">
    <w:name w:val="Table Grid"/>
    <w:basedOn w:val="TableNormal"/>
    <w:uiPriority w:val="59"/>
    <w:unhideWhenUsed/>
    <w:rsid w:val="0059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C9"/>
    <w:rPr>
      <w:rFonts w:ascii="Segoe UI" w:hAnsi="Segoe UI" w:cs="Segoe UI"/>
      <w:sz w:val="18"/>
      <w:szCs w:val="18"/>
    </w:rPr>
  </w:style>
  <w:style w:type="paragraph" w:styleId="NormalWeb">
    <w:name w:val="Normal (Web)"/>
    <w:basedOn w:val="Normal"/>
    <w:uiPriority w:val="99"/>
    <w:semiHidden/>
    <w:unhideWhenUsed/>
    <w:rsid w:val="00FE63C9"/>
    <w:rPr>
      <w:sz w:val="24"/>
      <w:szCs w:val="24"/>
    </w:rPr>
  </w:style>
  <w:style w:type="paragraph" w:styleId="ListParagraph">
    <w:name w:val="List Paragraph"/>
    <w:basedOn w:val="Normal"/>
    <w:uiPriority w:val="34"/>
    <w:qFormat/>
    <w:rsid w:val="0046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2190</Words>
  <Characters>1249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Asta Eitutiene</cp:lastModifiedBy>
  <cp:revision>19</cp:revision>
  <dcterms:created xsi:type="dcterms:W3CDTF">2019-10-30T12:28:00Z</dcterms:created>
  <dcterms:modified xsi:type="dcterms:W3CDTF">2020-01-09T13:11:00Z</dcterms:modified>
</cp:coreProperties>
</file>